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付树龙</w:t>
      </w:r>
      <w:r>
        <w:rPr>
          <w:rFonts w:hint="eastAsia"/>
          <w:sz w:val="15"/>
          <w:szCs w:val="15"/>
          <w:highlight w:val="none"/>
        </w:rPr>
        <w:t>，</w:t>
      </w:r>
      <w:r>
        <w:rPr>
          <w:rFonts w:hint="eastAsia"/>
          <w:sz w:val="15"/>
          <w:szCs w:val="15"/>
          <w:highlight w:val="none"/>
          <w:lang w:val="en-US" w:eastAsia="zh-CN"/>
        </w:rPr>
        <w:t>130125198104023513</w:t>
      </w:r>
      <w:r>
        <w:rPr>
          <w:rFonts w:hint="eastAsia"/>
          <w:sz w:val="15"/>
          <w:szCs w:val="15"/>
        </w:rPr>
        <w:t xml:space="preserve">  </w:t>
      </w:r>
      <w:r>
        <w:rPr>
          <w:rFonts w:hint="eastAsia"/>
          <w:sz w:val="15"/>
          <w:szCs w:val="15"/>
          <w:lang w:val="en-US" w:eastAsia="zh-CN"/>
        </w:rPr>
        <w:t>冀AKS745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