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陈巧巧</w:t>
      </w:r>
      <w:r>
        <w:rPr>
          <w:rFonts w:hint="eastAsia"/>
          <w:sz w:val="15"/>
          <w:szCs w:val="15"/>
          <w:highlight w:val="none"/>
        </w:rPr>
        <w:t>，</w:t>
      </w:r>
      <w:r>
        <w:rPr>
          <w:rFonts w:hint="eastAsia"/>
          <w:sz w:val="15"/>
          <w:szCs w:val="15"/>
          <w:highlight w:val="none"/>
          <w:lang w:val="en-US" w:eastAsia="zh-CN"/>
        </w:rPr>
        <w:t>13013119870315183X</w:t>
      </w:r>
      <w:r>
        <w:rPr>
          <w:rFonts w:hint="eastAsia"/>
          <w:sz w:val="15"/>
          <w:szCs w:val="15"/>
        </w:rPr>
        <w:t xml:space="preserve">  </w:t>
      </w:r>
      <w:r>
        <w:rPr>
          <w:rFonts w:hint="eastAsia"/>
          <w:sz w:val="15"/>
          <w:szCs w:val="15"/>
          <w:lang w:val="en-US" w:eastAsia="zh-CN"/>
        </w:rPr>
        <w:t>冀A195CZ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