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孙茂</w:t>
      </w:r>
      <w:r>
        <w:rPr>
          <w:rFonts w:hint="eastAsia"/>
          <w:sz w:val="15"/>
          <w:szCs w:val="15"/>
          <w:highlight w:val="none"/>
        </w:rPr>
        <w:t>，</w:t>
      </w:r>
      <w:r>
        <w:rPr>
          <w:rFonts w:hint="eastAsia"/>
          <w:sz w:val="15"/>
          <w:szCs w:val="15"/>
          <w:highlight w:val="none"/>
          <w:lang w:val="en-US" w:eastAsia="zh-CN"/>
        </w:rPr>
        <w:t>130125198510022014</w:t>
      </w:r>
      <w:r>
        <w:rPr>
          <w:rFonts w:hint="eastAsia"/>
          <w:sz w:val="15"/>
          <w:szCs w:val="15"/>
        </w:rPr>
        <w:t xml:space="preserve">  </w:t>
      </w:r>
      <w:r>
        <w:rPr>
          <w:rFonts w:hint="eastAsia"/>
          <w:sz w:val="15"/>
          <w:szCs w:val="15"/>
          <w:lang w:val="en-US" w:eastAsia="zh-CN"/>
        </w:rPr>
        <w:t>冀A37295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