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付建伟</w:t>
      </w:r>
      <w:r>
        <w:rPr>
          <w:rFonts w:hint="eastAsia"/>
          <w:sz w:val="15"/>
          <w:szCs w:val="15"/>
          <w:highlight w:val="none"/>
        </w:rPr>
        <w:t>，</w:t>
      </w:r>
      <w:r>
        <w:rPr>
          <w:rFonts w:hint="eastAsia"/>
          <w:sz w:val="15"/>
          <w:szCs w:val="15"/>
          <w:highlight w:val="none"/>
          <w:lang w:val="en-US" w:eastAsia="zh-CN"/>
        </w:rPr>
        <w:t>130125198301102018</w:t>
      </w:r>
      <w:r>
        <w:rPr>
          <w:rFonts w:hint="eastAsia"/>
          <w:sz w:val="15"/>
          <w:szCs w:val="15"/>
        </w:rPr>
        <w:t xml:space="preserve">  </w:t>
      </w:r>
      <w:r>
        <w:rPr>
          <w:rFonts w:hint="eastAsia"/>
          <w:sz w:val="15"/>
          <w:szCs w:val="15"/>
          <w:lang w:val="en-US" w:eastAsia="zh-CN"/>
        </w:rPr>
        <w:t>冀A77K94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