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刘二强</w:t>
      </w:r>
      <w:r>
        <w:rPr>
          <w:rFonts w:hint="eastAsia"/>
          <w:sz w:val="15"/>
          <w:szCs w:val="15"/>
          <w:highlight w:val="none"/>
        </w:rPr>
        <w:t>，</w:t>
      </w:r>
      <w:r>
        <w:rPr>
          <w:rFonts w:hint="eastAsia"/>
          <w:sz w:val="15"/>
          <w:szCs w:val="15"/>
          <w:highlight w:val="none"/>
          <w:lang w:val="en-US" w:eastAsia="zh-CN"/>
        </w:rPr>
        <w:t>13233519801226071X</w:t>
      </w:r>
      <w:r>
        <w:rPr>
          <w:rFonts w:hint="eastAsia"/>
          <w:sz w:val="15"/>
          <w:szCs w:val="15"/>
        </w:rPr>
        <w:t xml:space="preserve">  </w:t>
      </w:r>
      <w:r>
        <w:rPr>
          <w:rFonts w:hint="eastAsia"/>
          <w:sz w:val="15"/>
          <w:szCs w:val="15"/>
          <w:lang w:val="en-US" w:eastAsia="zh-CN"/>
        </w:rPr>
        <w:t>冀A530XS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