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杨康</w:t>
      </w:r>
      <w:r>
        <w:rPr>
          <w:rFonts w:hint="eastAsia"/>
          <w:sz w:val="15"/>
          <w:szCs w:val="15"/>
          <w:highlight w:val="none"/>
        </w:rPr>
        <w:t>，</w:t>
      </w:r>
      <w:r>
        <w:rPr>
          <w:rFonts w:hint="eastAsia"/>
          <w:sz w:val="15"/>
          <w:szCs w:val="15"/>
          <w:highlight w:val="none"/>
          <w:lang w:val="en-US" w:eastAsia="zh-CN"/>
        </w:rPr>
        <w:t>130182199211242414</w:t>
      </w:r>
      <w:r>
        <w:rPr>
          <w:rFonts w:hint="eastAsia"/>
          <w:sz w:val="15"/>
          <w:szCs w:val="15"/>
        </w:rPr>
        <w:t xml:space="preserve">  </w:t>
      </w:r>
      <w:r>
        <w:rPr>
          <w:rFonts w:hint="eastAsia"/>
          <w:sz w:val="15"/>
          <w:szCs w:val="15"/>
          <w:lang w:val="en-US" w:eastAsia="zh-CN"/>
        </w:rPr>
        <w:t>冀A071BS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