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王春磊</w:t>
      </w:r>
      <w:r>
        <w:rPr>
          <w:rFonts w:hint="eastAsia"/>
          <w:sz w:val="15"/>
          <w:szCs w:val="15"/>
          <w:highlight w:val="none"/>
        </w:rPr>
        <w:t>，</w:t>
      </w:r>
      <w:r>
        <w:rPr>
          <w:rFonts w:hint="eastAsia"/>
          <w:sz w:val="15"/>
          <w:szCs w:val="15"/>
          <w:highlight w:val="none"/>
          <w:lang w:val="en-US" w:eastAsia="zh-CN"/>
        </w:rPr>
        <w:t>130125198211113530</w:t>
      </w:r>
      <w:r>
        <w:rPr>
          <w:rFonts w:hint="eastAsia"/>
          <w:sz w:val="15"/>
          <w:szCs w:val="15"/>
        </w:rPr>
        <w:t xml:space="preserve">  </w:t>
      </w:r>
      <w:r>
        <w:rPr>
          <w:rFonts w:hint="eastAsia"/>
          <w:sz w:val="15"/>
          <w:szCs w:val="15"/>
          <w:lang w:val="en-US" w:eastAsia="zh-CN"/>
        </w:rPr>
        <w:t>冀A31678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