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张增强</w:t>
      </w:r>
      <w:r>
        <w:rPr>
          <w:rFonts w:hint="eastAsia"/>
          <w:sz w:val="15"/>
          <w:szCs w:val="15"/>
          <w:highlight w:val="none"/>
        </w:rPr>
        <w:t>，</w:t>
      </w:r>
      <w:r>
        <w:rPr>
          <w:rFonts w:hint="eastAsia"/>
          <w:sz w:val="15"/>
          <w:szCs w:val="15"/>
          <w:highlight w:val="none"/>
          <w:lang w:val="en-US" w:eastAsia="zh-CN"/>
        </w:rPr>
        <w:t>130126199009100956</w:t>
      </w:r>
      <w:r>
        <w:rPr>
          <w:rFonts w:hint="eastAsia"/>
          <w:sz w:val="15"/>
          <w:szCs w:val="15"/>
        </w:rPr>
        <w:t xml:space="preserve">  </w:t>
      </w:r>
      <w:r>
        <w:rPr>
          <w:rFonts w:hint="eastAsia"/>
          <w:sz w:val="15"/>
          <w:szCs w:val="15"/>
          <w:lang w:val="en-US" w:eastAsia="zh-CN"/>
        </w:rPr>
        <w:t>冀A2491V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