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李彦刚</w:t>
      </w:r>
      <w:r>
        <w:rPr>
          <w:rFonts w:hint="eastAsia"/>
          <w:sz w:val="15"/>
          <w:szCs w:val="15"/>
          <w:highlight w:val="none"/>
        </w:rPr>
        <w:t>，</w:t>
      </w:r>
      <w:r>
        <w:rPr>
          <w:rFonts w:hint="eastAsia"/>
          <w:sz w:val="15"/>
          <w:szCs w:val="15"/>
          <w:highlight w:val="none"/>
          <w:lang w:val="en-US" w:eastAsia="zh-CN"/>
        </w:rPr>
        <w:t>132335197901151711</w:t>
      </w:r>
      <w:r>
        <w:rPr>
          <w:rFonts w:hint="eastAsia"/>
          <w:sz w:val="15"/>
          <w:szCs w:val="15"/>
        </w:rPr>
        <w:t xml:space="preserve">  </w:t>
      </w:r>
      <w:r>
        <w:rPr>
          <w:rFonts w:hint="eastAsia"/>
          <w:sz w:val="15"/>
          <w:szCs w:val="15"/>
          <w:lang w:val="en-US" w:eastAsia="zh-CN"/>
        </w:rPr>
        <w:t>冀A8106V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