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李红艳</w:t>
      </w:r>
      <w:r>
        <w:rPr>
          <w:rFonts w:hint="eastAsia"/>
          <w:sz w:val="15"/>
          <w:szCs w:val="15"/>
          <w:highlight w:val="none"/>
        </w:rPr>
        <w:t>，</w:t>
      </w:r>
      <w:r>
        <w:rPr>
          <w:rFonts w:hint="eastAsia"/>
          <w:sz w:val="15"/>
          <w:szCs w:val="15"/>
          <w:highlight w:val="none"/>
          <w:lang w:val="en-US" w:eastAsia="zh-CN"/>
        </w:rPr>
        <w:t>130131198608164843</w:t>
      </w:r>
      <w:r>
        <w:rPr>
          <w:rFonts w:hint="eastAsia"/>
          <w:sz w:val="15"/>
          <w:szCs w:val="15"/>
        </w:rPr>
        <w:t xml:space="preserve">  </w:t>
      </w:r>
      <w:r>
        <w:rPr>
          <w:rFonts w:hint="eastAsia"/>
          <w:sz w:val="15"/>
          <w:szCs w:val="15"/>
          <w:lang w:val="en-US" w:eastAsia="zh-CN"/>
        </w:rPr>
        <w:t>冀A4862M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