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付雷杰</w:t>
      </w:r>
      <w:r>
        <w:rPr>
          <w:rFonts w:hint="eastAsia"/>
          <w:sz w:val="15"/>
          <w:szCs w:val="15"/>
          <w:highlight w:val="none"/>
        </w:rPr>
        <w:t>，</w:t>
      </w:r>
      <w:r>
        <w:rPr>
          <w:rFonts w:hint="eastAsia"/>
          <w:sz w:val="15"/>
          <w:szCs w:val="15"/>
          <w:highlight w:val="none"/>
          <w:lang w:val="en-US" w:eastAsia="zh-CN"/>
        </w:rPr>
        <w:t>132337197307150890</w:t>
      </w:r>
      <w:r>
        <w:rPr>
          <w:rFonts w:hint="eastAsia"/>
          <w:sz w:val="15"/>
          <w:szCs w:val="15"/>
        </w:rPr>
        <w:t xml:space="preserve">  </w:t>
      </w:r>
      <w:r>
        <w:rPr>
          <w:rFonts w:hint="eastAsia"/>
          <w:sz w:val="15"/>
          <w:szCs w:val="15"/>
          <w:lang w:val="en-US" w:eastAsia="zh-CN"/>
        </w:rPr>
        <w:t>冀A348TC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