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吴月锋</w:t>
      </w:r>
      <w:r>
        <w:rPr>
          <w:rFonts w:hint="eastAsia"/>
          <w:sz w:val="15"/>
          <w:szCs w:val="15"/>
          <w:highlight w:val="none"/>
        </w:rPr>
        <w:t>，</w:t>
      </w:r>
      <w:r>
        <w:rPr>
          <w:rFonts w:hint="eastAsia"/>
          <w:sz w:val="15"/>
          <w:szCs w:val="15"/>
          <w:highlight w:val="none"/>
          <w:lang w:val="en-US" w:eastAsia="zh-CN"/>
        </w:rPr>
        <w:t>132336198008160018</w:t>
      </w:r>
      <w:r>
        <w:rPr>
          <w:rFonts w:hint="eastAsia"/>
          <w:sz w:val="15"/>
          <w:szCs w:val="15"/>
        </w:rPr>
        <w:t xml:space="preserve">  </w:t>
      </w:r>
      <w:r>
        <w:rPr>
          <w:rFonts w:hint="eastAsia"/>
          <w:sz w:val="15"/>
          <w:szCs w:val="15"/>
          <w:lang w:val="en-US" w:eastAsia="zh-CN"/>
        </w:rPr>
        <w:t>沪A98391D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