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贾利军</w:t>
      </w:r>
      <w:r>
        <w:rPr>
          <w:rFonts w:hint="eastAsia"/>
          <w:sz w:val="15"/>
          <w:szCs w:val="15"/>
          <w:highlight w:val="none"/>
        </w:rPr>
        <w:t>，</w:t>
      </w:r>
      <w:r>
        <w:rPr>
          <w:rFonts w:hint="eastAsia"/>
          <w:sz w:val="15"/>
          <w:szCs w:val="15"/>
          <w:highlight w:val="none"/>
          <w:lang w:val="en-US" w:eastAsia="zh-CN"/>
        </w:rPr>
        <w:t>130126198410240619</w:t>
      </w:r>
      <w:r>
        <w:rPr>
          <w:rFonts w:hint="eastAsia"/>
          <w:sz w:val="15"/>
          <w:szCs w:val="15"/>
        </w:rPr>
        <w:t xml:space="preserve">  </w:t>
      </w:r>
      <w:r>
        <w:rPr>
          <w:rFonts w:hint="eastAsia"/>
          <w:sz w:val="15"/>
          <w:szCs w:val="15"/>
          <w:lang w:val="en-US" w:eastAsia="zh-CN"/>
        </w:rPr>
        <w:t>冀ANP728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