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梁立军</w:t>
      </w:r>
      <w:r>
        <w:rPr>
          <w:rFonts w:hint="eastAsia"/>
          <w:sz w:val="15"/>
          <w:szCs w:val="15"/>
          <w:highlight w:val="none"/>
        </w:rPr>
        <w:t>，</w:t>
      </w:r>
      <w:r>
        <w:rPr>
          <w:rFonts w:hint="eastAsia"/>
          <w:sz w:val="15"/>
          <w:szCs w:val="15"/>
          <w:highlight w:val="none"/>
          <w:lang w:val="en-US" w:eastAsia="zh-CN"/>
        </w:rPr>
        <w:t>132337198002022032</w:t>
      </w:r>
      <w:r>
        <w:rPr>
          <w:rFonts w:hint="eastAsia"/>
          <w:sz w:val="15"/>
          <w:szCs w:val="15"/>
        </w:rPr>
        <w:t xml:space="preserve">  </w:t>
      </w:r>
      <w:r>
        <w:rPr>
          <w:rFonts w:hint="eastAsia"/>
          <w:sz w:val="15"/>
          <w:szCs w:val="15"/>
          <w:lang w:val="en-US" w:eastAsia="zh-CN"/>
        </w:rPr>
        <w:t>冀AKT470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