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盖建平</w:t>
      </w:r>
      <w:r>
        <w:rPr>
          <w:rFonts w:hint="eastAsia"/>
          <w:sz w:val="15"/>
          <w:szCs w:val="15"/>
          <w:highlight w:val="none"/>
        </w:rPr>
        <w:t>，</w:t>
      </w:r>
      <w:r>
        <w:rPr>
          <w:rFonts w:hint="eastAsia"/>
          <w:sz w:val="15"/>
          <w:szCs w:val="15"/>
          <w:highlight w:val="none"/>
          <w:lang w:val="en-US" w:eastAsia="zh-CN"/>
        </w:rPr>
        <w:t>132337197603062035</w:t>
      </w:r>
      <w:r>
        <w:rPr>
          <w:rFonts w:hint="eastAsia"/>
          <w:sz w:val="15"/>
          <w:szCs w:val="15"/>
        </w:rPr>
        <w:t xml:space="preserve">  </w:t>
      </w:r>
      <w:r>
        <w:rPr>
          <w:rFonts w:hint="eastAsia"/>
          <w:sz w:val="15"/>
          <w:szCs w:val="15"/>
          <w:lang w:val="en-US" w:eastAsia="zh-CN"/>
        </w:rPr>
        <w:t>冀A71726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