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朱彦生</w:t>
      </w:r>
      <w:r>
        <w:rPr>
          <w:rFonts w:hint="eastAsia"/>
          <w:sz w:val="15"/>
          <w:szCs w:val="15"/>
          <w:highlight w:val="none"/>
        </w:rPr>
        <w:t>，</w:t>
      </w:r>
      <w:r>
        <w:rPr>
          <w:rFonts w:hint="eastAsia"/>
          <w:sz w:val="15"/>
          <w:szCs w:val="15"/>
          <w:highlight w:val="none"/>
          <w:lang w:val="en-US" w:eastAsia="zh-CN"/>
        </w:rPr>
        <w:t>13233519761222307X</w:t>
      </w:r>
      <w:r>
        <w:rPr>
          <w:rFonts w:hint="eastAsia"/>
          <w:sz w:val="15"/>
          <w:szCs w:val="15"/>
        </w:rPr>
        <w:t xml:space="preserve">  </w:t>
      </w:r>
      <w:r>
        <w:rPr>
          <w:rFonts w:hint="eastAsia"/>
          <w:sz w:val="15"/>
          <w:szCs w:val="15"/>
          <w:lang w:val="en-US" w:eastAsia="zh-CN"/>
        </w:rPr>
        <w:t>冀A7198Z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