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董保生</w:t>
      </w:r>
      <w:r>
        <w:rPr>
          <w:rFonts w:hint="eastAsia"/>
          <w:sz w:val="15"/>
          <w:szCs w:val="15"/>
          <w:highlight w:val="none"/>
        </w:rPr>
        <w:t>，</w:t>
      </w:r>
      <w:r>
        <w:rPr>
          <w:rFonts w:hint="eastAsia"/>
          <w:sz w:val="15"/>
          <w:szCs w:val="15"/>
          <w:highlight w:val="none"/>
          <w:lang w:val="en-US" w:eastAsia="zh-CN"/>
        </w:rPr>
        <w:t>132337198009140517</w:t>
      </w:r>
      <w:r>
        <w:rPr>
          <w:rFonts w:hint="eastAsia"/>
          <w:sz w:val="15"/>
          <w:szCs w:val="15"/>
        </w:rPr>
        <w:t xml:space="preserve">  </w:t>
      </w:r>
      <w:r>
        <w:rPr>
          <w:rFonts w:hint="eastAsia"/>
          <w:sz w:val="15"/>
          <w:szCs w:val="15"/>
          <w:lang w:val="en-US" w:eastAsia="zh-CN"/>
        </w:rPr>
        <w:t>冀A6532W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