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孙立杰</w:t>
      </w:r>
      <w:r>
        <w:rPr>
          <w:rFonts w:hint="eastAsia"/>
          <w:sz w:val="15"/>
          <w:szCs w:val="15"/>
          <w:highlight w:val="none"/>
        </w:rPr>
        <w:t>，</w:t>
      </w:r>
      <w:r>
        <w:rPr>
          <w:rFonts w:hint="eastAsia"/>
          <w:sz w:val="15"/>
          <w:szCs w:val="15"/>
          <w:highlight w:val="none"/>
          <w:lang w:val="en-US" w:eastAsia="zh-CN"/>
        </w:rPr>
        <w:t>132337197808152253</w:t>
      </w:r>
      <w:r>
        <w:rPr>
          <w:rFonts w:hint="eastAsia"/>
          <w:sz w:val="15"/>
          <w:szCs w:val="15"/>
        </w:rPr>
        <w:t xml:space="preserve">  </w:t>
      </w:r>
      <w:r>
        <w:rPr>
          <w:rFonts w:hint="eastAsia"/>
          <w:sz w:val="15"/>
          <w:szCs w:val="15"/>
          <w:lang w:val="en-US" w:eastAsia="zh-CN"/>
        </w:rPr>
        <w:t>冀A073Y9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