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马学强</w:t>
      </w:r>
      <w:r>
        <w:rPr>
          <w:rFonts w:hint="eastAsia"/>
          <w:sz w:val="15"/>
          <w:szCs w:val="15"/>
          <w:highlight w:val="none"/>
        </w:rPr>
        <w:t>，</w:t>
      </w:r>
      <w:r>
        <w:rPr>
          <w:rFonts w:hint="eastAsia"/>
          <w:sz w:val="15"/>
          <w:szCs w:val="15"/>
          <w:highlight w:val="none"/>
          <w:lang w:val="en-US" w:eastAsia="zh-CN"/>
        </w:rPr>
        <w:t>132337197502020696</w:t>
      </w:r>
      <w:r>
        <w:rPr>
          <w:rFonts w:hint="eastAsia"/>
          <w:sz w:val="15"/>
          <w:szCs w:val="15"/>
        </w:rPr>
        <w:t xml:space="preserve">  </w:t>
      </w:r>
      <w:r>
        <w:rPr>
          <w:rFonts w:hint="eastAsia"/>
          <w:sz w:val="15"/>
          <w:szCs w:val="15"/>
          <w:lang w:val="en-US" w:eastAsia="zh-CN"/>
        </w:rPr>
        <w:t>冀AGQ851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