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石立军</w:t>
      </w:r>
      <w:r>
        <w:rPr>
          <w:rFonts w:hint="eastAsia"/>
          <w:sz w:val="15"/>
          <w:szCs w:val="15"/>
          <w:highlight w:val="none"/>
        </w:rPr>
        <w:t>，</w:t>
      </w:r>
      <w:r>
        <w:rPr>
          <w:rFonts w:hint="eastAsia"/>
          <w:sz w:val="15"/>
          <w:szCs w:val="15"/>
          <w:highlight w:val="none"/>
          <w:lang w:val="en-US" w:eastAsia="zh-CN"/>
        </w:rPr>
        <w:t>13233719700706021X</w:t>
      </w:r>
      <w:r>
        <w:rPr>
          <w:rFonts w:hint="eastAsia"/>
          <w:sz w:val="15"/>
          <w:szCs w:val="15"/>
        </w:rPr>
        <w:t xml:space="preserve">  </w:t>
      </w:r>
      <w:r>
        <w:rPr>
          <w:rFonts w:hint="eastAsia"/>
          <w:sz w:val="15"/>
          <w:szCs w:val="15"/>
          <w:lang w:val="en-US" w:eastAsia="zh-CN"/>
        </w:rPr>
        <w:t>冀A80U48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