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李振伟</w:t>
      </w:r>
      <w:r>
        <w:rPr>
          <w:rFonts w:hint="eastAsia"/>
          <w:sz w:val="15"/>
          <w:szCs w:val="15"/>
          <w:highlight w:val="none"/>
        </w:rPr>
        <w:t>，</w:t>
      </w:r>
      <w:r>
        <w:rPr>
          <w:rFonts w:hint="eastAsia"/>
          <w:sz w:val="15"/>
          <w:szCs w:val="15"/>
          <w:highlight w:val="none"/>
          <w:lang w:val="en-US" w:eastAsia="zh-CN"/>
        </w:rPr>
        <w:t>132335197303271190</w:t>
      </w:r>
      <w:r>
        <w:rPr>
          <w:rFonts w:hint="eastAsia"/>
          <w:sz w:val="15"/>
          <w:szCs w:val="15"/>
        </w:rPr>
        <w:t xml:space="preserve">  </w:t>
      </w:r>
      <w:r>
        <w:rPr>
          <w:rFonts w:hint="eastAsia"/>
          <w:sz w:val="15"/>
          <w:szCs w:val="15"/>
          <w:lang w:val="en-US" w:eastAsia="zh-CN"/>
        </w:rPr>
        <w:t>沪A85216D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