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陈勇进</w:t>
      </w:r>
      <w:r>
        <w:rPr>
          <w:rFonts w:hint="eastAsia"/>
          <w:sz w:val="15"/>
          <w:szCs w:val="15"/>
          <w:highlight w:val="none"/>
        </w:rPr>
        <w:t>，</w:t>
      </w:r>
      <w:r>
        <w:rPr>
          <w:rFonts w:hint="eastAsia"/>
          <w:sz w:val="15"/>
          <w:szCs w:val="15"/>
          <w:highlight w:val="none"/>
          <w:lang w:val="en-US" w:eastAsia="zh-CN"/>
        </w:rPr>
        <w:t>130125198009078014</w:t>
      </w:r>
      <w:r>
        <w:rPr>
          <w:rFonts w:hint="eastAsia"/>
          <w:sz w:val="15"/>
          <w:szCs w:val="15"/>
        </w:rPr>
        <w:t xml:space="preserve">  </w:t>
      </w:r>
      <w:r>
        <w:rPr>
          <w:rFonts w:hint="eastAsia"/>
          <w:sz w:val="15"/>
          <w:szCs w:val="15"/>
          <w:lang w:val="en-US" w:eastAsia="zh-CN"/>
        </w:rPr>
        <w:t>冀A4755Z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