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兰亚琼</w:t>
      </w:r>
      <w:r>
        <w:rPr>
          <w:rFonts w:hint="eastAsia"/>
          <w:sz w:val="15"/>
          <w:szCs w:val="15"/>
          <w:highlight w:val="none"/>
        </w:rPr>
        <w:t>，</w:t>
      </w:r>
      <w:r>
        <w:rPr>
          <w:rFonts w:hint="eastAsia"/>
          <w:sz w:val="15"/>
          <w:szCs w:val="15"/>
          <w:highlight w:val="none"/>
          <w:lang w:val="en-US" w:eastAsia="zh-CN"/>
        </w:rPr>
        <w:t>130125198902107551</w:t>
      </w:r>
      <w:r>
        <w:rPr>
          <w:rFonts w:hint="eastAsia"/>
          <w:sz w:val="15"/>
          <w:szCs w:val="15"/>
        </w:rPr>
        <w:t xml:space="preserve">  </w:t>
      </w:r>
      <w:r>
        <w:rPr>
          <w:rFonts w:hint="eastAsia"/>
          <w:sz w:val="15"/>
          <w:szCs w:val="15"/>
          <w:lang w:val="en-US" w:eastAsia="zh-CN"/>
        </w:rPr>
        <w:t>冀AV6256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