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徐增军</w:t>
      </w:r>
      <w:r>
        <w:rPr>
          <w:rFonts w:hint="eastAsia"/>
          <w:sz w:val="15"/>
          <w:szCs w:val="15"/>
          <w:highlight w:val="none"/>
        </w:rPr>
        <w:t>，</w:t>
      </w:r>
      <w:r>
        <w:rPr>
          <w:rFonts w:hint="eastAsia"/>
          <w:sz w:val="15"/>
          <w:szCs w:val="15"/>
          <w:highlight w:val="none"/>
          <w:lang w:val="en-US" w:eastAsia="zh-CN"/>
        </w:rPr>
        <w:t>130125197107080017</w:t>
      </w:r>
      <w:r>
        <w:rPr>
          <w:rFonts w:hint="eastAsia"/>
          <w:sz w:val="15"/>
          <w:szCs w:val="15"/>
        </w:rPr>
        <w:t xml:space="preserve">  </w:t>
      </w:r>
      <w:r>
        <w:rPr>
          <w:rFonts w:hint="eastAsia"/>
          <w:sz w:val="15"/>
          <w:szCs w:val="15"/>
          <w:lang w:val="en-US" w:eastAsia="zh-CN"/>
        </w:rPr>
        <w:t>冀A455K5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