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范银贵</w:t>
      </w:r>
      <w:r>
        <w:rPr>
          <w:rFonts w:hint="eastAsia"/>
          <w:sz w:val="15"/>
          <w:szCs w:val="15"/>
          <w:highlight w:val="none"/>
        </w:rPr>
        <w:t>，</w:t>
      </w:r>
      <w:r>
        <w:rPr>
          <w:rFonts w:hint="eastAsia"/>
          <w:sz w:val="15"/>
          <w:szCs w:val="15"/>
          <w:highlight w:val="none"/>
          <w:lang w:val="en-US" w:eastAsia="zh-CN"/>
        </w:rPr>
        <w:t>130125197604028017</w:t>
      </w:r>
      <w:r>
        <w:rPr>
          <w:rFonts w:hint="eastAsia"/>
          <w:sz w:val="15"/>
          <w:szCs w:val="15"/>
        </w:rPr>
        <w:t xml:space="preserve">  </w:t>
      </w:r>
      <w:r>
        <w:rPr>
          <w:rFonts w:hint="eastAsia"/>
          <w:sz w:val="15"/>
          <w:szCs w:val="15"/>
          <w:lang w:val="en-US" w:eastAsia="zh-CN"/>
        </w:rPr>
        <w:t>冀A5931W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