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崔玉刚</w:t>
      </w:r>
      <w:r>
        <w:rPr>
          <w:rFonts w:hint="eastAsia"/>
          <w:sz w:val="15"/>
          <w:szCs w:val="15"/>
          <w:highlight w:val="none"/>
        </w:rPr>
        <w:t>，</w:t>
      </w:r>
      <w:r>
        <w:rPr>
          <w:rFonts w:hint="eastAsia"/>
          <w:sz w:val="15"/>
          <w:szCs w:val="15"/>
          <w:highlight w:val="none"/>
          <w:lang w:val="en-US" w:eastAsia="zh-CN"/>
        </w:rPr>
        <w:t>130185198410082518</w:t>
      </w:r>
      <w:r>
        <w:rPr>
          <w:rFonts w:hint="eastAsia"/>
          <w:sz w:val="15"/>
          <w:szCs w:val="15"/>
        </w:rPr>
        <w:t xml:space="preserve">  </w:t>
      </w:r>
      <w:r>
        <w:rPr>
          <w:rFonts w:hint="eastAsia"/>
          <w:sz w:val="15"/>
          <w:szCs w:val="15"/>
          <w:lang w:val="en-US" w:eastAsia="zh-CN"/>
        </w:rPr>
        <w:t>冀A5763W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