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姚建利</w:t>
      </w:r>
      <w:r>
        <w:rPr>
          <w:rFonts w:hint="eastAsia"/>
          <w:sz w:val="15"/>
          <w:szCs w:val="15"/>
          <w:highlight w:val="none"/>
        </w:rPr>
        <w:t>，</w:t>
      </w:r>
      <w:r>
        <w:rPr>
          <w:rFonts w:hint="eastAsia"/>
          <w:sz w:val="15"/>
          <w:szCs w:val="15"/>
          <w:highlight w:val="none"/>
          <w:lang w:val="en-US" w:eastAsia="zh-CN"/>
        </w:rPr>
        <w:t>130185198307041814</w:t>
      </w:r>
      <w:r>
        <w:rPr>
          <w:rFonts w:hint="eastAsia"/>
          <w:sz w:val="15"/>
          <w:szCs w:val="15"/>
        </w:rPr>
        <w:t xml:space="preserve">  </w:t>
      </w:r>
      <w:r>
        <w:rPr>
          <w:rFonts w:hint="eastAsia"/>
          <w:sz w:val="15"/>
          <w:szCs w:val="15"/>
          <w:lang w:val="en-US" w:eastAsia="zh-CN"/>
        </w:rPr>
        <w:t>冀A5799W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