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左朋龙</w:t>
      </w:r>
      <w:r>
        <w:rPr>
          <w:rFonts w:hint="eastAsia"/>
          <w:sz w:val="15"/>
          <w:szCs w:val="15"/>
          <w:highlight w:val="none"/>
        </w:rPr>
        <w:t>，</w:t>
      </w:r>
      <w:r>
        <w:rPr>
          <w:rFonts w:hint="eastAsia"/>
          <w:sz w:val="15"/>
          <w:szCs w:val="15"/>
          <w:highlight w:val="none"/>
          <w:lang w:val="en-US" w:eastAsia="zh-CN"/>
        </w:rPr>
        <w:t>130131198805080032</w:t>
      </w:r>
      <w:r>
        <w:rPr>
          <w:rFonts w:hint="eastAsia"/>
          <w:sz w:val="15"/>
          <w:szCs w:val="15"/>
        </w:rPr>
        <w:t xml:space="preserve">  </w:t>
      </w:r>
      <w:r>
        <w:rPr>
          <w:rFonts w:hint="eastAsia"/>
          <w:sz w:val="15"/>
          <w:szCs w:val="15"/>
          <w:lang w:val="en-US" w:eastAsia="zh-CN"/>
        </w:rPr>
        <w:t>津A27725D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