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范江伟</w:t>
      </w:r>
      <w:r>
        <w:rPr>
          <w:rFonts w:hint="eastAsia"/>
          <w:sz w:val="15"/>
          <w:szCs w:val="15"/>
          <w:highlight w:val="none"/>
        </w:rPr>
        <w:t>，</w:t>
      </w:r>
      <w:r>
        <w:rPr>
          <w:rFonts w:hint="eastAsia"/>
          <w:sz w:val="15"/>
          <w:szCs w:val="15"/>
          <w:highlight w:val="none"/>
          <w:lang w:val="en-US" w:eastAsia="zh-CN"/>
        </w:rPr>
        <w:t>130131198801200076</w:t>
      </w:r>
      <w:r>
        <w:rPr>
          <w:rFonts w:hint="eastAsia"/>
          <w:sz w:val="15"/>
          <w:szCs w:val="15"/>
        </w:rPr>
        <w:t xml:space="preserve">  </w:t>
      </w:r>
      <w:r>
        <w:rPr>
          <w:rFonts w:hint="eastAsia"/>
          <w:sz w:val="15"/>
          <w:szCs w:val="15"/>
          <w:lang w:val="en-US" w:eastAsia="zh-CN"/>
        </w:rPr>
        <w:t>冀A05000D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