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837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解雨</w:t>
      </w:r>
      <w:r>
        <w:rPr>
          <w:rFonts w:hint="eastAsia"/>
          <w:sz w:val="15"/>
          <w:szCs w:val="15"/>
          <w:highlight w:val="none"/>
        </w:rPr>
        <w:t>，</w:t>
      </w:r>
      <w:r>
        <w:rPr>
          <w:rFonts w:hint="eastAsia"/>
          <w:sz w:val="15"/>
          <w:szCs w:val="15"/>
          <w:highlight w:val="none"/>
          <w:lang w:val="en-US" w:eastAsia="zh-CN"/>
        </w:rPr>
        <w:t>130184198306291073</w:t>
      </w:r>
      <w:r>
        <w:rPr>
          <w:rFonts w:hint="eastAsia"/>
          <w:sz w:val="15"/>
          <w:szCs w:val="15"/>
        </w:rPr>
        <w:t xml:space="preserve">  </w:t>
      </w:r>
      <w:r>
        <w:rPr>
          <w:rFonts w:hint="eastAsia"/>
          <w:sz w:val="15"/>
          <w:szCs w:val="15"/>
          <w:lang w:val="en-US" w:eastAsia="zh-CN"/>
        </w:rPr>
        <w:t>冀A2176Z</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