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吴立分</w:t>
      </w:r>
      <w:r>
        <w:rPr>
          <w:rFonts w:hint="eastAsia"/>
          <w:sz w:val="15"/>
          <w:szCs w:val="15"/>
          <w:highlight w:val="none"/>
        </w:rPr>
        <w:t>，</w:t>
      </w:r>
      <w:r>
        <w:rPr>
          <w:rFonts w:hint="eastAsia"/>
          <w:sz w:val="15"/>
          <w:szCs w:val="15"/>
          <w:highlight w:val="none"/>
          <w:lang w:val="en-US" w:eastAsia="zh-CN"/>
        </w:rPr>
        <w:t>130527198107150539</w:t>
      </w:r>
      <w:r>
        <w:rPr>
          <w:rFonts w:hint="eastAsia"/>
          <w:sz w:val="15"/>
          <w:szCs w:val="15"/>
        </w:rPr>
        <w:t xml:space="preserve">  </w:t>
      </w:r>
      <w:r>
        <w:rPr>
          <w:rFonts w:hint="eastAsia"/>
          <w:sz w:val="15"/>
          <w:szCs w:val="15"/>
          <w:lang w:val="en-US" w:eastAsia="zh-CN"/>
        </w:rPr>
        <w:t>沪A70060D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