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李素庆</w:t>
      </w:r>
      <w:r>
        <w:rPr>
          <w:rFonts w:hint="eastAsia"/>
          <w:sz w:val="15"/>
          <w:szCs w:val="15"/>
          <w:highlight w:val="none"/>
        </w:rPr>
        <w:t>，</w:t>
      </w:r>
      <w:r>
        <w:rPr>
          <w:rFonts w:hint="eastAsia"/>
          <w:sz w:val="15"/>
          <w:szCs w:val="15"/>
          <w:highlight w:val="none"/>
          <w:lang w:val="en-US" w:eastAsia="zh-CN"/>
        </w:rPr>
        <w:t>130184198007254512</w:t>
      </w:r>
      <w:r>
        <w:rPr>
          <w:rFonts w:hint="eastAsia"/>
          <w:sz w:val="15"/>
          <w:szCs w:val="15"/>
        </w:rPr>
        <w:t xml:space="preserve">  </w:t>
      </w:r>
      <w:r>
        <w:rPr>
          <w:rFonts w:hint="eastAsia"/>
          <w:sz w:val="15"/>
          <w:szCs w:val="15"/>
          <w:lang w:val="en-US" w:eastAsia="zh-CN"/>
        </w:rPr>
        <w:t>冀AN1577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