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刘永杰</w:t>
      </w:r>
      <w:r>
        <w:rPr>
          <w:rFonts w:hint="eastAsia"/>
          <w:sz w:val="15"/>
          <w:szCs w:val="15"/>
          <w:highlight w:val="none"/>
        </w:rPr>
        <w:t>，</w:t>
      </w:r>
      <w:r>
        <w:rPr>
          <w:rFonts w:hint="eastAsia"/>
          <w:sz w:val="15"/>
          <w:szCs w:val="15"/>
          <w:highlight w:val="none"/>
          <w:lang w:val="en-US" w:eastAsia="zh-CN"/>
        </w:rPr>
        <w:t>13018219811218535X</w:t>
      </w:r>
      <w:r>
        <w:rPr>
          <w:rFonts w:hint="eastAsia"/>
          <w:sz w:val="15"/>
          <w:szCs w:val="15"/>
        </w:rPr>
        <w:t xml:space="preserve">  </w:t>
      </w:r>
      <w:r>
        <w:rPr>
          <w:rFonts w:hint="eastAsia"/>
          <w:sz w:val="15"/>
          <w:szCs w:val="15"/>
          <w:lang w:val="en-US" w:eastAsia="zh-CN"/>
        </w:rPr>
        <w:t>冀ATB847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