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766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张波林</w:t>
      </w:r>
      <w:r>
        <w:rPr>
          <w:rFonts w:hint="eastAsia"/>
          <w:sz w:val="15"/>
          <w:szCs w:val="15"/>
          <w:highlight w:val="none"/>
        </w:rPr>
        <w:t>，</w:t>
      </w:r>
      <w:r>
        <w:rPr>
          <w:rFonts w:hint="eastAsia"/>
          <w:sz w:val="15"/>
          <w:szCs w:val="15"/>
          <w:highlight w:val="none"/>
          <w:lang w:val="en-US" w:eastAsia="zh-CN"/>
        </w:rPr>
        <w:t>130125198204133517</w:t>
      </w:r>
      <w:r>
        <w:rPr>
          <w:rFonts w:hint="eastAsia"/>
          <w:sz w:val="15"/>
          <w:szCs w:val="15"/>
        </w:rPr>
        <w:t xml:space="preserve">  </w:t>
      </w:r>
      <w:r>
        <w:rPr>
          <w:rFonts w:hint="eastAsia"/>
          <w:sz w:val="15"/>
          <w:szCs w:val="15"/>
          <w:lang w:val="en-US" w:eastAsia="zh-CN"/>
        </w:rPr>
        <w:t>冀A95N76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