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任立军</w:t>
      </w:r>
      <w:r>
        <w:rPr>
          <w:rFonts w:hint="eastAsia"/>
          <w:sz w:val="15"/>
          <w:szCs w:val="15"/>
          <w:highlight w:val="none"/>
        </w:rPr>
        <w:t>，</w:t>
      </w:r>
      <w:r>
        <w:rPr>
          <w:rFonts w:hint="eastAsia"/>
          <w:sz w:val="15"/>
          <w:szCs w:val="15"/>
          <w:highlight w:val="none"/>
          <w:lang w:val="en-US" w:eastAsia="zh-CN"/>
        </w:rPr>
        <w:t>130121196503292812</w:t>
      </w:r>
      <w:r>
        <w:rPr>
          <w:rFonts w:hint="eastAsia"/>
          <w:sz w:val="15"/>
          <w:szCs w:val="15"/>
        </w:rPr>
        <w:t xml:space="preserve">  </w:t>
      </w:r>
      <w:r>
        <w:rPr>
          <w:rFonts w:hint="eastAsia"/>
          <w:sz w:val="15"/>
          <w:szCs w:val="15"/>
          <w:lang w:val="en-US" w:eastAsia="zh-CN"/>
        </w:rPr>
        <w:t>冀A692KC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