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范江卫</w:t>
      </w:r>
      <w:r>
        <w:rPr>
          <w:rFonts w:hint="eastAsia"/>
          <w:sz w:val="15"/>
          <w:szCs w:val="15"/>
          <w:highlight w:val="none"/>
        </w:rPr>
        <w:t>，</w:t>
      </w:r>
      <w:r>
        <w:rPr>
          <w:rFonts w:hint="eastAsia"/>
          <w:sz w:val="15"/>
          <w:szCs w:val="15"/>
          <w:highlight w:val="none"/>
          <w:lang w:val="en-US" w:eastAsia="zh-CN"/>
        </w:rPr>
        <w:t>130125198307128016</w:t>
      </w:r>
      <w:r>
        <w:rPr>
          <w:rFonts w:hint="eastAsia"/>
          <w:sz w:val="15"/>
          <w:szCs w:val="15"/>
        </w:rPr>
        <w:t xml:space="preserve">  </w:t>
      </w:r>
      <w:r>
        <w:rPr>
          <w:rFonts w:hint="eastAsia"/>
          <w:sz w:val="15"/>
          <w:szCs w:val="15"/>
          <w:lang w:val="en-US" w:eastAsia="zh-CN"/>
        </w:rPr>
        <w:t>冀A54960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