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杜志亮</w:t>
      </w:r>
      <w:r>
        <w:rPr>
          <w:rFonts w:hint="eastAsia"/>
          <w:sz w:val="15"/>
          <w:szCs w:val="15"/>
          <w:highlight w:val="none"/>
        </w:rPr>
        <w:t>，</w:t>
      </w:r>
      <w:r>
        <w:rPr>
          <w:rFonts w:hint="eastAsia"/>
          <w:sz w:val="15"/>
          <w:szCs w:val="15"/>
          <w:highlight w:val="none"/>
          <w:lang w:val="en-US" w:eastAsia="zh-CN"/>
        </w:rPr>
        <w:t>130121198508091816</w:t>
      </w:r>
      <w:r>
        <w:rPr>
          <w:rFonts w:hint="eastAsia"/>
          <w:sz w:val="15"/>
          <w:szCs w:val="15"/>
        </w:rPr>
        <w:t xml:space="preserve">  </w:t>
      </w:r>
      <w:r>
        <w:rPr>
          <w:rFonts w:hint="eastAsia"/>
          <w:sz w:val="15"/>
          <w:szCs w:val="15"/>
          <w:lang w:val="en-US" w:eastAsia="zh-CN"/>
        </w:rPr>
        <w:t>冀A7729W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