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袁伟强</w:t>
      </w:r>
      <w:r>
        <w:rPr>
          <w:rFonts w:hint="eastAsia"/>
          <w:sz w:val="15"/>
          <w:szCs w:val="15"/>
          <w:highlight w:val="none"/>
        </w:rPr>
        <w:t>，</w:t>
      </w:r>
      <w:r>
        <w:rPr>
          <w:rFonts w:hint="eastAsia"/>
          <w:sz w:val="15"/>
          <w:szCs w:val="15"/>
          <w:highlight w:val="none"/>
          <w:lang w:val="en-US" w:eastAsia="zh-CN"/>
        </w:rPr>
        <w:t>130125198211117013</w:t>
      </w:r>
      <w:r>
        <w:rPr>
          <w:rFonts w:hint="eastAsia"/>
          <w:sz w:val="15"/>
          <w:szCs w:val="15"/>
        </w:rPr>
        <w:t xml:space="preserve">  </w:t>
      </w:r>
      <w:r>
        <w:rPr>
          <w:rFonts w:hint="eastAsia"/>
          <w:sz w:val="15"/>
          <w:szCs w:val="15"/>
          <w:lang w:val="en-US" w:eastAsia="zh-CN"/>
        </w:rPr>
        <w:t>冀A32019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