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范少栋</w:t>
      </w:r>
      <w:r>
        <w:rPr>
          <w:rFonts w:hint="eastAsia"/>
          <w:sz w:val="15"/>
          <w:szCs w:val="15"/>
          <w:highlight w:val="none"/>
        </w:rPr>
        <w:t>，</w:t>
      </w:r>
      <w:r>
        <w:rPr>
          <w:rFonts w:hint="eastAsia"/>
          <w:sz w:val="15"/>
          <w:szCs w:val="15"/>
          <w:highlight w:val="none"/>
          <w:lang w:val="en-US" w:eastAsia="zh-CN"/>
        </w:rPr>
        <w:t>130125198603288014</w:t>
      </w:r>
      <w:r>
        <w:rPr>
          <w:rFonts w:hint="eastAsia"/>
          <w:sz w:val="15"/>
          <w:szCs w:val="15"/>
        </w:rPr>
        <w:t xml:space="preserve">  </w:t>
      </w:r>
      <w:r>
        <w:rPr>
          <w:rFonts w:hint="eastAsia"/>
          <w:sz w:val="15"/>
          <w:szCs w:val="15"/>
          <w:lang w:val="en-US" w:eastAsia="zh-CN"/>
        </w:rPr>
        <w:t>冀ADB473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