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秦志勇</w:t>
      </w:r>
      <w:r>
        <w:rPr>
          <w:rFonts w:hint="eastAsia"/>
          <w:sz w:val="15"/>
          <w:szCs w:val="15"/>
          <w:highlight w:val="none"/>
        </w:rPr>
        <w:t>，</w:t>
      </w:r>
      <w:r>
        <w:rPr>
          <w:rFonts w:hint="eastAsia"/>
          <w:sz w:val="15"/>
          <w:szCs w:val="15"/>
          <w:highlight w:val="none"/>
          <w:lang w:val="en-US" w:eastAsia="zh-CN"/>
        </w:rPr>
        <w:t>410521197311128018</w:t>
      </w:r>
      <w:r>
        <w:rPr>
          <w:rFonts w:hint="eastAsia"/>
          <w:sz w:val="15"/>
          <w:szCs w:val="15"/>
        </w:rPr>
        <w:t xml:space="preserve">  </w:t>
      </w:r>
      <w:r>
        <w:rPr>
          <w:rFonts w:hint="eastAsia"/>
          <w:sz w:val="15"/>
          <w:szCs w:val="15"/>
          <w:lang w:val="en-US" w:eastAsia="zh-CN"/>
        </w:rPr>
        <w:t>冀A5148Z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