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王腾飞</w:t>
      </w:r>
      <w:r>
        <w:rPr>
          <w:rFonts w:hint="eastAsia"/>
          <w:sz w:val="15"/>
          <w:szCs w:val="15"/>
          <w:highlight w:val="none"/>
        </w:rPr>
        <w:t>，</w:t>
      </w:r>
      <w:r>
        <w:rPr>
          <w:rFonts w:hint="eastAsia"/>
          <w:sz w:val="15"/>
          <w:szCs w:val="15"/>
          <w:highlight w:val="none"/>
          <w:lang w:val="en-US" w:eastAsia="zh-CN"/>
        </w:rPr>
        <w:t>130125199202078010</w:t>
      </w:r>
      <w:r>
        <w:rPr>
          <w:rFonts w:hint="eastAsia"/>
          <w:sz w:val="15"/>
          <w:szCs w:val="15"/>
        </w:rPr>
        <w:t xml:space="preserve">  </w:t>
      </w:r>
      <w:r>
        <w:rPr>
          <w:rFonts w:hint="eastAsia"/>
          <w:sz w:val="15"/>
          <w:szCs w:val="15"/>
          <w:lang w:val="en-US" w:eastAsia="zh-CN"/>
        </w:rPr>
        <w:t>冀AK8617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