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霍元宏</w:t>
      </w:r>
      <w:r>
        <w:rPr>
          <w:rFonts w:hint="eastAsia"/>
          <w:sz w:val="15"/>
          <w:szCs w:val="15"/>
          <w:highlight w:val="none"/>
        </w:rPr>
        <w:t>，</w:t>
      </w:r>
      <w:r>
        <w:rPr>
          <w:rFonts w:hint="eastAsia"/>
          <w:sz w:val="15"/>
          <w:szCs w:val="15"/>
          <w:highlight w:val="none"/>
          <w:lang w:val="en-US" w:eastAsia="zh-CN"/>
        </w:rPr>
        <w:t>130125199310138017</w:t>
      </w:r>
      <w:r>
        <w:rPr>
          <w:rFonts w:hint="eastAsia"/>
          <w:sz w:val="15"/>
          <w:szCs w:val="15"/>
        </w:rPr>
        <w:t xml:space="preserve">  </w:t>
      </w:r>
      <w:r>
        <w:rPr>
          <w:rFonts w:hint="eastAsia"/>
          <w:sz w:val="15"/>
          <w:szCs w:val="15"/>
          <w:lang w:val="en-US" w:eastAsia="zh-CN"/>
        </w:rPr>
        <w:t>冀A58675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