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w:t>
      </w:r>
      <w:r>
        <w:rPr>
          <w:rFonts w:hint="eastAsia"/>
          <w:sz w:val="15"/>
          <w:szCs w:val="15"/>
          <w:highlight w:val="none"/>
        </w:rPr>
        <w:t>，</w:t>
      </w:r>
      <w:r>
        <w:rPr>
          <w:rFonts w:hint="eastAsia"/>
          <w:sz w:val="15"/>
          <w:szCs w:val="15"/>
          <w:highlight w:val="none"/>
          <w:lang w:val="en-US" w:eastAsia="zh-CN"/>
        </w:rPr>
        <w:t>130125198812247016</w:t>
      </w:r>
      <w:r>
        <w:rPr>
          <w:rFonts w:hint="eastAsia"/>
          <w:sz w:val="15"/>
          <w:szCs w:val="15"/>
        </w:rPr>
        <w:t xml:space="preserve">  </w:t>
      </w:r>
      <w:r>
        <w:rPr>
          <w:rFonts w:hint="eastAsia"/>
          <w:sz w:val="15"/>
          <w:szCs w:val="15"/>
          <w:lang w:val="en-US" w:eastAsia="zh-CN"/>
        </w:rPr>
        <w:t>冀A31171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