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张保</w:t>
      </w:r>
      <w:r>
        <w:rPr>
          <w:rFonts w:hint="eastAsia"/>
          <w:sz w:val="15"/>
          <w:szCs w:val="15"/>
          <w:highlight w:val="none"/>
        </w:rPr>
        <w:t>，</w:t>
      </w:r>
      <w:r>
        <w:rPr>
          <w:rFonts w:hint="eastAsia"/>
          <w:sz w:val="15"/>
          <w:szCs w:val="15"/>
          <w:highlight w:val="none"/>
          <w:lang w:val="en-US" w:eastAsia="zh-CN"/>
        </w:rPr>
        <w:t>130125198704027032</w:t>
      </w:r>
      <w:r>
        <w:rPr>
          <w:rFonts w:hint="eastAsia"/>
          <w:sz w:val="15"/>
          <w:szCs w:val="15"/>
        </w:rPr>
        <w:t xml:space="preserve">  </w:t>
      </w:r>
      <w:r>
        <w:rPr>
          <w:rFonts w:hint="eastAsia"/>
          <w:sz w:val="15"/>
          <w:szCs w:val="15"/>
          <w:lang w:val="en-US" w:eastAsia="zh-CN"/>
        </w:rPr>
        <w:t>冀A58698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