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易康</w:t>
      </w:r>
      <w:r>
        <w:rPr>
          <w:rFonts w:hint="eastAsia"/>
          <w:sz w:val="15"/>
          <w:szCs w:val="15"/>
          <w:highlight w:val="none"/>
        </w:rPr>
        <w:t>，</w:t>
      </w:r>
      <w:r>
        <w:rPr>
          <w:rFonts w:hint="eastAsia"/>
          <w:sz w:val="15"/>
          <w:szCs w:val="15"/>
          <w:highlight w:val="none"/>
          <w:lang w:val="en-US" w:eastAsia="zh-CN"/>
        </w:rPr>
        <w:t>130125199108217539</w:t>
      </w:r>
      <w:r>
        <w:rPr>
          <w:rFonts w:hint="eastAsia"/>
          <w:sz w:val="15"/>
          <w:szCs w:val="15"/>
        </w:rPr>
        <w:t xml:space="preserve">  </w:t>
      </w:r>
      <w:r>
        <w:rPr>
          <w:rFonts w:hint="eastAsia"/>
          <w:sz w:val="15"/>
          <w:szCs w:val="15"/>
          <w:lang w:val="en-US" w:eastAsia="zh-CN"/>
        </w:rPr>
        <w:t>冀A8241V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