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王董</w:t>
      </w:r>
      <w:r>
        <w:rPr>
          <w:rFonts w:hint="eastAsia"/>
          <w:sz w:val="15"/>
          <w:szCs w:val="15"/>
          <w:highlight w:val="none"/>
        </w:rPr>
        <w:t>，</w:t>
      </w:r>
      <w:r>
        <w:rPr>
          <w:rFonts w:hint="eastAsia"/>
          <w:sz w:val="15"/>
          <w:szCs w:val="15"/>
          <w:highlight w:val="none"/>
          <w:lang w:val="en-US" w:eastAsia="zh-CN"/>
        </w:rPr>
        <w:t>130125198908127510</w:t>
      </w:r>
      <w:r>
        <w:rPr>
          <w:rFonts w:hint="eastAsia"/>
          <w:sz w:val="15"/>
          <w:szCs w:val="15"/>
        </w:rPr>
        <w:t xml:space="preserve">  </w:t>
      </w:r>
      <w:r>
        <w:rPr>
          <w:rFonts w:hint="eastAsia"/>
          <w:sz w:val="15"/>
          <w:szCs w:val="15"/>
          <w:lang w:val="en-US" w:eastAsia="zh-CN"/>
        </w:rPr>
        <w:t>冀AB6154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