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赵绪</w:t>
      </w:r>
      <w:r>
        <w:rPr>
          <w:rFonts w:hint="eastAsia"/>
          <w:sz w:val="15"/>
          <w:szCs w:val="15"/>
          <w:highlight w:val="none"/>
        </w:rPr>
        <w:t>，</w:t>
      </w:r>
      <w:r>
        <w:rPr>
          <w:rFonts w:hint="eastAsia"/>
          <w:sz w:val="15"/>
          <w:szCs w:val="15"/>
          <w:highlight w:val="none"/>
          <w:lang w:val="en-US" w:eastAsia="zh-CN"/>
        </w:rPr>
        <w:t>130125199011236557</w:t>
      </w:r>
      <w:r>
        <w:rPr>
          <w:rFonts w:hint="eastAsia"/>
          <w:sz w:val="15"/>
          <w:szCs w:val="15"/>
        </w:rPr>
        <w:t xml:space="preserve">  </w:t>
      </w:r>
      <w:r>
        <w:rPr>
          <w:rFonts w:hint="eastAsia"/>
          <w:sz w:val="15"/>
          <w:szCs w:val="15"/>
          <w:lang w:val="en-US" w:eastAsia="zh-CN"/>
        </w:rPr>
        <w:t>冀A7868U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