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范江龙</w:t>
      </w:r>
      <w:r>
        <w:rPr>
          <w:rFonts w:hint="eastAsia"/>
          <w:sz w:val="15"/>
          <w:szCs w:val="15"/>
          <w:highlight w:val="none"/>
        </w:rPr>
        <w:t>，</w:t>
      </w:r>
      <w:r>
        <w:rPr>
          <w:rFonts w:hint="eastAsia"/>
          <w:sz w:val="15"/>
          <w:szCs w:val="15"/>
          <w:highlight w:val="none"/>
          <w:lang w:val="en-US" w:eastAsia="zh-CN"/>
        </w:rPr>
        <w:t>130125198806218016</w:t>
      </w:r>
      <w:r>
        <w:rPr>
          <w:rFonts w:hint="eastAsia"/>
          <w:sz w:val="15"/>
          <w:szCs w:val="15"/>
        </w:rPr>
        <w:t xml:space="preserve">  </w:t>
      </w:r>
      <w:r>
        <w:rPr>
          <w:rFonts w:hint="eastAsia"/>
          <w:sz w:val="15"/>
          <w:szCs w:val="15"/>
          <w:lang w:val="en-US" w:eastAsia="zh-CN"/>
        </w:rPr>
        <w:t>冀A7663Z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