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范卫杰</w:t>
      </w:r>
      <w:r>
        <w:rPr>
          <w:rFonts w:hint="eastAsia"/>
          <w:sz w:val="15"/>
          <w:szCs w:val="15"/>
          <w:highlight w:val="none"/>
        </w:rPr>
        <w:t>，</w:t>
      </w:r>
      <w:r>
        <w:rPr>
          <w:rFonts w:hint="eastAsia"/>
          <w:sz w:val="15"/>
          <w:szCs w:val="15"/>
          <w:highlight w:val="none"/>
          <w:lang w:val="en-US" w:eastAsia="zh-CN"/>
        </w:rPr>
        <w:t>130125199410058014</w:t>
      </w:r>
      <w:r>
        <w:rPr>
          <w:rFonts w:hint="eastAsia"/>
          <w:sz w:val="15"/>
          <w:szCs w:val="15"/>
        </w:rPr>
        <w:t xml:space="preserve">  </w:t>
      </w:r>
      <w:r>
        <w:rPr>
          <w:rFonts w:hint="eastAsia"/>
          <w:sz w:val="15"/>
          <w:szCs w:val="15"/>
          <w:lang w:val="en-US" w:eastAsia="zh-CN"/>
        </w:rPr>
        <w:t>冀AQ8274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