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714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潘子毅</w:t>
      </w:r>
      <w:r>
        <w:rPr>
          <w:rFonts w:hint="eastAsia"/>
          <w:sz w:val="15"/>
          <w:szCs w:val="15"/>
          <w:highlight w:val="none"/>
        </w:rPr>
        <w:t>，</w:t>
      </w:r>
      <w:r>
        <w:rPr>
          <w:rFonts w:hint="eastAsia"/>
          <w:sz w:val="15"/>
          <w:szCs w:val="15"/>
          <w:highlight w:val="none"/>
          <w:lang w:val="en-US" w:eastAsia="zh-CN"/>
        </w:rPr>
        <w:t>130125199102083533</w:t>
      </w:r>
      <w:r>
        <w:rPr>
          <w:rFonts w:hint="eastAsia"/>
          <w:sz w:val="15"/>
          <w:szCs w:val="15"/>
        </w:rPr>
        <w:t xml:space="preserve">  </w:t>
      </w:r>
      <w:r>
        <w:rPr>
          <w:rFonts w:hint="eastAsia"/>
          <w:sz w:val="15"/>
          <w:szCs w:val="15"/>
          <w:lang w:val="en-US" w:eastAsia="zh-CN"/>
        </w:rPr>
        <w:t>冀AJ2761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